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E2E7F" w14:textId="77777777" w:rsidR="000E7F15" w:rsidRDefault="00000000">
      <w:pPr>
        <w:pBdr>
          <w:top w:val="nil"/>
          <w:left w:val="nil"/>
          <w:bottom w:val="nil"/>
          <w:right w:val="nil"/>
          <w:between w:val="nil"/>
        </w:pBdr>
        <w:spacing w:after="0" w:line="240" w:lineRule="auto"/>
        <w:jc w:val="both"/>
        <w:rPr>
          <w:rFonts w:ascii="Calibri" w:eastAsia="Calibri" w:hAnsi="Calibri" w:cs="Calibri"/>
          <w:b/>
          <w:color w:val="000000"/>
          <w:sz w:val="24"/>
          <w:szCs w:val="24"/>
        </w:rPr>
      </w:pPr>
      <w:bookmarkStart w:id="0" w:name="_heading=h.gjdgxs" w:colFirst="0" w:colLast="0"/>
      <w:bookmarkEnd w:id="0"/>
      <w:r>
        <w:rPr>
          <w:rFonts w:ascii="Calibri" w:eastAsia="Calibri" w:hAnsi="Calibri" w:cs="Calibri"/>
          <w:b/>
          <w:color w:val="000000"/>
          <w:sz w:val="24"/>
          <w:szCs w:val="24"/>
        </w:rPr>
        <w:t>SIARAN PERS</w:t>
      </w:r>
    </w:p>
    <w:p w14:paraId="465A83AC" w14:textId="77777777" w:rsidR="000E7F15" w:rsidRDefault="000E7F15">
      <w:pPr>
        <w:pBdr>
          <w:top w:val="nil"/>
          <w:left w:val="nil"/>
          <w:bottom w:val="nil"/>
          <w:right w:val="nil"/>
          <w:between w:val="nil"/>
        </w:pBdr>
        <w:spacing w:after="0" w:line="240" w:lineRule="auto"/>
        <w:jc w:val="both"/>
        <w:rPr>
          <w:b/>
          <w:sz w:val="24"/>
          <w:szCs w:val="24"/>
        </w:rPr>
      </w:pPr>
      <w:bookmarkStart w:id="1" w:name="_heading=h.dsf10ogosswe" w:colFirst="0" w:colLast="0"/>
      <w:bookmarkEnd w:id="1"/>
    </w:p>
    <w:p w14:paraId="197A268B" w14:textId="77777777" w:rsidR="000E7F15" w:rsidRDefault="00000000">
      <w:pPr>
        <w:pBdr>
          <w:top w:val="nil"/>
          <w:left w:val="nil"/>
          <w:bottom w:val="nil"/>
          <w:right w:val="nil"/>
          <w:between w:val="nil"/>
        </w:pBdr>
        <w:spacing w:after="0" w:line="240" w:lineRule="auto"/>
        <w:jc w:val="center"/>
        <w:rPr>
          <w:b/>
          <w:sz w:val="26"/>
          <w:szCs w:val="26"/>
        </w:rPr>
      </w:pPr>
      <w:r>
        <w:rPr>
          <w:b/>
          <w:sz w:val="26"/>
          <w:szCs w:val="26"/>
        </w:rPr>
        <w:t>BRI Danareksa Sekuritas Dorong Pertumbuhan Pasar Modal dengan Peningkatan Signifikan di Penjaminan Emisi, Targetkan 4 IPO Saham pada 2025</w:t>
      </w:r>
    </w:p>
    <w:p w14:paraId="7E2559CA" w14:textId="77777777" w:rsidR="000E7F15" w:rsidRDefault="000E7F15">
      <w:pPr>
        <w:pBdr>
          <w:top w:val="nil"/>
          <w:left w:val="nil"/>
          <w:bottom w:val="nil"/>
          <w:right w:val="nil"/>
          <w:between w:val="nil"/>
        </w:pBdr>
        <w:spacing w:after="0" w:line="240" w:lineRule="auto"/>
        <w:jc w:val="center"/>
        <w:rPr>
          <w:b/>
          <w:sz w:val="26"/>
          <w:szCs w:val="26"/>
        </w:rPr>
      </w:pPr>
    </w:p>
    <w:p w14:paraId="79F29C88" w14:textId="77777777" w:rsidR="000E7F15" w:rsidRDefault="00000000">
      <w:pPr>
        <w:pBdr>
          <w:top w:val="nil"/>
          <w:left w:val="nil"/>
          <w:bottom w:val="nil"/>
          <w:right w:val="nil"/>
          <w:between w:val="nil"/>
        </w:pBdr>
        <w:spacing w:after="0" w:line="240" w:lineRule="auto"/>
        <w:jc w:val="center"/>
        <w:rPr>
          <w:b/>
          <w:sz w:val="26"/>
          <w:szCs w:val="26"/>
        </w:rPr>
      </w:pPr>
      <w:r>
        <w:rPr>
          <w:b/>
          <w:noProof/>
          <w:sz w:val="26"/>
          <w:szCs w:val="26"/>
        </w:rPr>
        <w:drawing>
          <wp:inline distT="114300" distB="114300" distL="114300" distR="114300" wp14:anchorId="75A74475" wp14:editId="2CFA3E35">
            <wp:extent cx="4929188" cy="2764468"/>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929188" cy="2764468"/>
                    </a:xfrm>
                    <a:prstGeom prst="rect">
                      <a:avLst/>
                    </a:prstGeom>
                    <a:ln/>
                  </pic:spPr>
                </pic:pic>
              </a:graphicData>
            </a:graphic>
          </wp:inline>
        </w:drawing>
      </w:r>
    </w:p>
    <w:p w14:paraId="6B6BFAE0" w14:textId="77777777" w:rsidR="000E7F15" w:rsidRDefault="000E7F15">
      <w:pPr>
        <w:pBdr>
          <w:top w:val="nil"/>
          <w:left w:val="nil"/>
          <w:bottom w:val="nil"/>
          <w:right w:val="nil"/>
          <w:between w:val="nil"/>
        </w:pBdr>
        <w:spacing w:after="0" w:line="240" w:lineRule="auto"/>
        <w:jc w:val="both"/>
        <w:rPr>
          <w:rFonts w:ascii="Calibri" w:eastAsia="Calibri" w:hAnsi="Calibri" w:cs="Calibri"/>
          <w:b/>
          <w:color w:val="000000"/>
          <w:sz w:val="24"/>
          <w:szCs w:val="24"/>
        </w:rPr>
      </w:pPr>
    </w:p>
    <w:p w14:paraId="28844BC0" w14:textId="77777777" w:rsidR="000E7F15" w:rsidRDefault="00000000">
      <w:pPr>
        <w:spacing w:after="0" w:line="240" w:lineRule="auto"/>
        <w:jc w:val="both"/>
        <w:rPr>
          <w:b/>
        </w:rPr>
      </w:pPr>
      <w:r>
        <w:rPr>
          <w:b/>
        </w:rPr>
        <w:t>Jakarta, 12 Februari 2025 – BRI Danareksa Sekuritas (BRIDS),</w:t>
      </w:r>
      <w:r>
        <w:t xml:space="preserve"> salah satu perusahaan sekuritas terkemuka di Indonesia dan anak usaha dari PT Bank Rakyat Indonesia (Persero) Tbk (IDX: BBRI) mencatatkan pertumbuhan signifikan dalam layanan </w:t>
      </w:r>
      <w:r>
        <w:rPr>
          <w:i/>
        </w:rPr>
        <w:t>Investment Banking</w:t>
      </w:r>
      <w:r>
        <w:t>-nya, terutama untuk layanan penjaminan emisi surat utang sepanjang 2024. Perusahaan berhasil meningkatkan jumlah klien dan transaksi, memperkuat posisinya di pasar modal Indonesia, dan menargetkan empat IPO saham pada 2025 sebagai bagian dari strategi pertumbuhannya.</w:t>
      </w:r>
    </w:p>
    <w:p w14:paraId="765ADFA3" w14:textId="77777777" w:rsidR="000E7F15" w:rsidRDefault="000E7F15">
      <w:pPr>
        <w:spacing w:after="0" w:line="240" w:lineRule="auto"/>
        <w:jc w:val="both"/>
      </w:pPr>
    </w:p>
    <w:p w14:paraId="174256B8" w14:textId="77777777" w:rsidR="000E7F15" w:rsidRDefault="00000000">
      <w:pPr>
        <w:spacing w:after="0" w:line="240" w:lineRule="auto"/>
        <w:jc w:val="both"/>
      </w:pPr>
      <w:r>
        <w:t>BRIDS mencatatkan sejumlah pencapaian penting selama tahun 2024. Jumlah klien untuk transaksi penerbitan surat utang mengalami peningkatan  signifikan sebesar 44% atau sebanyak 36 klien dibandingkan dengan tahun 2023 sebanyak  25 klien.  Sementara itu, peningkatan jumlah transaksi klien untuk penerbitan surat utang yang ditangani juga mengalami kenaikan eksponensial sebesar 86% menjadi 53 transaksi, dibandingkan dengan pada tahun 2023 sebesar 38 transaksi.</w:t>
      </w:r>
    </w:p>
    <w:p w14:paraId="670596E6" w14:textId="77777777" w:rsidR="000E7F15" w:rsidRDefault="000E7F15">
      <w:pPr>
        <w:spacing w:after="0" w:line="240" w:lineRule="auto"/>
        <w:jc w:val="both"/>
      </w:pPr>
    </w:p>
    <w:p w14:paraId="5C7AEF63" w14:textId="77777777" w:rsidR="000E7F15" w:rsidRDefault="00000000">
      <w:pPr>
        <w:spacing w:after="0" w:line="240" w:lineRule="auto"/>
        <w:jc w:val="both"/>
      </w:pPr>
      <w:r>
        <w:t>Perusahaan juga mencatat peningkatan signifikan dalam total nilai penjaminan emisi obligasi dan sukuk sebesar Rp14,6 triliun pada 2024, meningkat dari Rp9,9 triliun pada tahun 2023 atau sekitar 47%. Berkat kinerja baik tersebut, BRIDS berhasil naik peringkat dalam penjaminan emisi obligasi, sukuk, dan saham pada tahun 2024 dengan menempati posisi keempat pada tabel penjaminan obligasi &amp; sukuk dan menempati posisi keenam pada tabel penjaminan IPO saham berdasarkan data dari Bloomberg. Berkat pencapaian tersebut, BRIDS berhasil meraih berbagai pengakuan dan penghargaan internasional bergengsi dari Alpha Southeast Asia, The Asset dan Islamic Finance News.</w:t>
      </w:r>
    </w:p>
    <w:p w14:paraId="733E9023" w14:textId="77777777" w:rsidR="000E7F15" w:rsidRDefault="000E7F15">
      <w:pPr>
        <w:spacing w:after="0" w:line="240" w:lineRule="auto"/>
        <w:jc w:val="both"/>
      </w:pPr>
    </w:p>
    <w:p w14:paraId="422C937D" w14:textId="77777777" w:rsidR="000E7F15" w:rsidRDefault="00000000">
      <w:pPr>
        <w:spacing w:after="0" w:line="240" w:lineRule="auto"/>
        <w:jc w:val="both"/>
      </w:pPr>
      <w:r>
        <w:rPr>
          <w:b/>
        </w:rPr>
        <w:t>Direktur Investment Banking Capital Market BRIDS Kevin Praharyawan</w:t>
      </w:r>
      <w:r>
        <w:t xml:space="preserve"> mengungkapkan bahwa menyatakan rasa syukur dengan pencapaian yang telah diraih BRIDS pada tahun 2024. </w:t>
      </w:r>
      <w:r>
        <w:rPr>
          <w:i/>
        </w:rPr>
        <w:t xml:space="preserve">“Pencapaian BRIDS di 2024 mencerminkan kepercayaan yang terus tumbuh dari klien dalam sektor obligasi, sukuk, dan MTN, </w:t>
      </w:r>
      <w:r>
        <w:rPr>
          <w:i/>
        </w:rPr>
        <w:lastRenderedPageBreak/>
        <w:t>dan kami tentu berterima kasih kepada klien dan stakeholders kami atas kepercayaan dan dukungan yang diberikan Peningkatan transaksi dan jumlah klien kami menunjukkan komitmen kuat untuk menyediakan layanan yang komprehensif dan terbaik, serta solusi inovatif di pasar modal. Dengan potensi besar yang masih ada, BRIDS siap untuk terus berperan dalam mendukung pengembangan pasar modal Indonesia,"</w:t>
      </w:r>
      <w:r>
        <w:t xml:space="preserve"> jelas Kevin.</w:t>
      </w:r>
    </w:p>
    <w:p w14:paraId="4322F727" w14:textId="77777777" w:rsidR="000E7F15" w:rsidRDefault="000E7F15">
      <w:pPr>
        <w:spacing w:after="0" w:line="240" w:lineRule="auto"/>
        <w:jc w:val="both"/>
      </w:pPr>
    </w:p>
    <w:p w14:paraId="2F707DB8" w14:textId="77777777" w:rsidR="000E7F15" w:rsidRDefault="00000000">
      <w:pPr>
        <w:spacing w:after="0" w:line="240" w:lineRule="auto"/>
        <w:jc w:val="center"/>
      </w:pPr>
      <w:r>
        <w:rPr>
          <w:noProof/>
        </w:rPr>
        <w:drawing>
          <wp:inline distT="114300" distB="114300" distL="114300" distR="114300" wp14:anchorId="17313AEB" wp14:editId="56ADFDAC">
            <wp:extent cx="4238625" cy="2807281"/>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238625" cy="2807281"/>
                    </a:xfrm>
                    <a:prstGeom prst="rect">
                      <a:avLst/>
                    </a:prstGeom>
                    <a:ln/>
                  </pic:spPr>
                </pic:pic>
              </a:graphicData>
            </a:graphic>
          </wp:inline>
        </w:drawing>
      </w:r>
    </w:p>
    <w:p w14:paraId="0993BA90" w14:textId="77777777" w:rsidR="000E7F15" w:rsidRDefault="00000000">
      <w:pPr>
        <w:spacing w:after="0" w:line="240" w:lineRule="auto"/>
        <w:jc w:val="center"/>
        <w:rPr>
          <w:i/>
          <w:sz w:val="16"/>
          <w:szCs w:val="16"/>
        </w:rPr>
      </w:pPr>
      <w:r>
        <w:rPr>
          <w:i/>
          <w:sz w:val="16"/>
          <w:szCs w:val="16"/>
        </w:rPr>
        <w:t>Kevin Praharyawan, Direktur Investment Banking Capital Market BRIDS</w:t>
      </w:r>
    </w:p>
    <w:p w14:paraId="0368DB11" w14:textId="77777777" w:rsidR="000E7F15" w:rsidRDefault="000E7F15">
      <w:pPr>
        <w:spacing w:after="0" w:line="240" w:lineRule="auto"/>
        <w:jc w:val="both"/>
      </w:pPr>
    </w:p>
    <w:p w14:paraId="68A8C9DB" w14:textId="77777777" w:rsidR="000E7F15" w:rsidRDefault="00000000">
      <w:pPr>
        <w:spacing w:after="0" w:line="240" w:lineRule="auto"/>
        <w:jc w:val="both"/>
      </w:pPr>
      <w:r>
        <w:t xml:space="preserve">Sebagai bagian dari rencana strategis, BRIDS akan mengadakan berbagai forum dan </w:t>
      </w:r>
      <w:r>
        <w:rPr>
          <w:i/>
        </w:rPr>
        <w:t>workshop</w:t>
      </w:r>
      <w:r>
        <w:t xml:space="preserve"> bersama regulator serta pemangku kepentingan untuk meningkatkan literasi investor dan memperkenalkan alternatif pendanaan pasar modal bagi korporasi. Perusahaan menargetkan untuk mendukung beberapa IPO saham dan penerbitan obligasi/sukuk pada 2025, sambil berkomitmen untuk memperkuat peranannya dalam memperluas akses pasar modal di Indonesia.</w:t>
      </w:r>
    </w:p>
    <w:p w14:paraId="2E54B69E" w14:textId="77777777" w:rsidR="000E7F15" w:rsidRDefault="000E7F15">
      <w:pPr>
        <w:spacing w:after="0" w:line="240" w:lineRule="auto"/>
        <w:jc w:val="both"/>
      </w:pPr>
    </w:p>
    <w:p w14:paraId="02EE9FFF" w14:textId="77777777" w:rsidR="000E7F15" w:rsidRDefault="00000000">
      <w:pPr>
        <w:spacing w:after="0" w:line="240" w:lineRule="auto"/>
        <w:jc w:val="both"/>
        <w:rPr>
          <w:i/>
        </w:rPr>
      </w:pPr>
      <w:r>
        <w:rPr>
          <w:b/>
        </w:rPr>
        <w:t>Direktur Utama BRIDS Laksono Widodo</w:t>
      </w:r>
      <w:r>
        <w:t xml:space="preserve"> menegaskan bahwa “</w:t>
      </w:r>
      <w:r>
        <w:rPr>
          <w:i/>
        </w:rPr>
        <w:t>Perusahaan akan terus memperkuat posisinya sebagai mitra terpercaya di pasar modal. Kami menargetkan untuk mendukung 4 IPO saham serta puluhan penjaminan emisi obligasi dan sukuk pada 2025 dengan strategi yang lebih terarah dan inovatif. BRIDS berkomitmen untuk tidak hanya memfasilitasi pendanaan bagi perusahaan, tetapi juga mendorong pertumbuhan ekosistem pasar modal yang lebih kuat dan berkelanjutan, sejalan dengan visi perusahaan sebagai The Most Preferred Securities House in Indonesia, sehingga memberikan dampak positif bagi perekonomian nasional.”</w:t>
      </w:r>
    </w:p>
    <w:p w14:paraId="177CAFE3" w14:textId="77777777" w:rsidR="000E7F15" w:rsidRDefault="000E7F15">
      <w:pPr>
        <w:spacing w:after="0" w:line="240" w:lineRule="auto"/>
        <w:jc w:val="both"/>
        <w:rPr>
          <w:i/>
        </w:rPr>
      </w:pPr>
    </w:p>
    <w:p w14:paraId="25745E6D" w14:textId="77777777" w:rsidR="000E7F15" w:rsidRDefault="00000000">
      <w:pPr>
        <w:spacing w:after="0" w:line="240" w:lineRule="auto"/>
        <w:jc w:val="center"/>
        <w:rPr>
          <w:i/>
        </w:rPr>
      </w:pPr>
      <w:r>
        <w:rPr>
          <w:i/>
          <w:noProof/>
        </w:rPr>
        <w:drawing>
          <wp:inline distT="114300" distB="114300" distL="114300" distR="114300" wp14:anchorId="6BE98114" wp14:editId="7809D50C">
            <wp:extent cx="4333875" cy="2876876"/>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4333875" cy="2876876"/>
                    </a:xfrm>
                    <a:prstGeom prst="rect">
                      <a:avLst/>
                    </a:prstGeom>
                    <a:ln/>
                  </pic:spPr>
                </pic:pic>
              </a:graphicData>
            </a:graphic>
          </wp:inline>
        </w:drawing>
      </w:r>
    </w:p>
    <w:p w14:paraId="7C574699" w14:textId="77777777" w:rsidR="000E7F15" w:rsidRDefault="00000000">
      <w:pPr>
        <w:spacing w:after="0" w:line="240" w:lineRule="auto"/>
        <w:jc w:val="center"/>
        <w:rPr>
          <w:i/>
          <w:sz w:val="16"/>
          <w:szCs w:val="16"/>
        </w:rPr>
      </w:pPr>
      <w:r>
        <w:rPr>
          <w:i/>
          <w:sz w:val="16"/>
          <w:szCs w:val="16"/>
        </w:rPr>
        <w:t>Laksono Widodo, Direktur Utama BRIDS</w:t>
      </w:r>
    </w:p>
    <w:p w14:paraId="3B3C54F7" w14:textId="77777777" w:rsidR="000E7F15" w:rsidRDefault="000E7F15">
      <w:pPr>
        <w:spacing w:after="0" w:line="240" w:lineRule="auto"/>
        <w:jc w:val="both"/>
      </w:pPr>
    </w:p>
    <w:p w14:paraId="14946B77" w14:textId="77777777" w:rsidR="000E7F15" w:rsidRDefault="00000000">
      <w:pPr>
        <w:spacing w:after="0" w:line="240" w:lineRule="auto"/>
        <w:jc w:val="both"/>
        <w:rPr>
          <w:sz w:val="24"/>
          <w:szCs w:val="24"/>
        </w:rPr>
      </w:pPr>
      <w:r>
        <w:t xml:space="preserve">Ia juga menambahkan bahwa pencapaian ini juga turut didukung oleh kinerja bisnis </w:t>
      </w:r>
      <w:r>
        <w:rPr>
          <w:i/>
        </w:rPr>
        <w:t>bond brokerage</w:t>
      </w:r>
      <w:r>
        <w:t xml:space="preserve"> Perusahaan di pasar sekunder yang memuaskan. Pada tahun 2024, BRIDS mencatatkan nilai transaksi Perdagangan Efek Obligasi Pemerintah atau </w:t>
      </w:r>
      <w:r>
        <w:rPr>
          <w:i/>
        </w:rPr>
        <w:t>Government Bond Brokerage</w:t>
      </w:r>
      <w:r>
        <w:t xml:space="preserve"> terbesar diantara para perusahaan sekuritas sebesar Rp 275 triliun dan berada pada posisi pertama di </w:t>
      </w:r>
      <w:r>
        <w:rPr>
          <w:i/>
        </w:rPr>
        <w:t>Bloomberg</w:t>
      </w:r>
      <w:r>
        <w:t xml:space="preserve"> </w:t>
      </w:r>
      <w:r>
        <w:rPr>
          <w:i/>
        </w:rPr>
        <w:t>league table</w:t>
      </w:r>
      <w:r>
        <w:t xml:space="preserve">. Selain itu di sisi Perdagangan Efek Obligasi Korporasi atau </w:t>
      </w:r>
      <w:r>
        <w:rPr>
          <w:i/>
        </w:rPr>
        <w:t>Corporate Bond Brokerage</w:t>
      </w:r>
      <w:r>
        <w:t xml:space="preserve">, BRIDS juga mencatatkan nilai transaksi terbesar diantara para perusahaan sekuritas sebesar Rp 49 triliun dan berada pada posisi pertama di </w:t>
      </w:r>
      <w:r>
        <w:rPr>
          <w:i/>
        </w:rPr>
        <w:t>Bloomberg</w:t>
      </w:r>
      <w:r>
        <w:t xml:space="preserve"> </w:t>
      </w:r>
      <w:r>
        <w:rPr>
          <w:i/>
        </w:rPr>
        <w:t xml:space="preserve">league table. </w:t>
      </w:r>
      <w:r>
        <w:t>Pencapaian ini memperkuat peran BRIDS dalam memperluas akses pembiayaan bagi korporasi dan mendorong partisipasi investor di pasar modal Indonesia.</w:t>
      </w:r>
    </w:p>
    <w:p w14:paraId="1CEB5EA4" w14:textId="77777777" w:rsidR="000E7F15" w:rsidRDefault="00000000">
      <w:pPr>
        <w:pBdr>
          <w:top w:val="nil"/>
          <w:left w:val="nil"/>
          <w:bottom w:val="nil"/>
          <w:right w:val="nil"/>
          <w:between w:val="nil"/>
        </w:pBd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w:t>
      </w:r>
    </w:p>
    <w:p w14:paraId="0C9A8C14" w14:textId="77777777" w:rsidR="000E7F15" w:rsidRDefault="000E7F15">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FFC8E38" w14:textId="77777777" w:rsidR="000E7F15" w:rsidRDefault="00000000">
      <w:pPr>
        <w:pBdr>
          <w:top w:val="nil"/>
          <w:left w:val="nil"/>
          <w:bottom w:val="nil"/>
          <w:right w:val="nil"/>
          <w:between w:val="nil"/>
        </w:pBdr>
        <w:spacing w:after="0" w:line="240" w:lineRule="auto"/>
        <w:jc w:val="both"/>
        <w:rPr>
          <w:rFonts w:ascii="Calibri" w:eastAsia="Calibri" w:hAnsi="Calibri" w:cs="Calibri"/>
          <w:b/>
          <w:color w:val="000000"/>
          <w:sz w:val="20"/>
          <w:szCs w:val="20"/>
          <w:u w:val="single"/>
        </w:rPr>
      </w:pPr>
      <w:r>
        <w:rPr>
          <w:rFonts w:ascii="Calibri" w:eastAsia="Calibri" w:hAnsi="Calibri" w:cs="Calibri"/>
          <w:b/>
          <w:color w:val="000000"/>
          <w:sz w:val="20"/>
          <w:szCs w:val="20"/>
          <w:u w:val="single"/>
        </w:rPr>
        <w:t>Tentang PT BRI Danareksa Sekuritas</w:t>
      </w:r>
      <w:r>
        <w:rPr>
          <w:rFonts w:ascii="Calibri" w:eastAsia="Calibri" w:hAnsi="Calibri" w:cs="Calibri"/>
          <w:b/>
          <w:color w:val="000000"/>
          <w:sz w:val="20"/>
          <w:szCs w:val="20"/>
        </w:rPr>
        <w:t xml:space="preserve"> (</w:t>
      </w:r>
      <w:hyperlink r:id="rId10">
        <w:r>
          <w:rPr>
            <w:rFonts w:ascii="Calibri" w:eastAsia="Calibri" w:hAnsi="Calibri" w:cs="Calibri"/>
            <w:b/>
            <w:color w:val="0000FF"/>
            <w:sz w:val="20"/>
            <w:szCs w:val="20"/>
          </w:rPr>
          <w:t>www.</w:t>
        </w:r>
      </w:hyperlink>
      <w:hyperlink r:id="rId11">
        <w:r>
          <w:rPr>
            <w:rFonts w:ascii="Calibri" w:eastAsia="Calibri" w:hAnsi="Calibri" w:cs="Calibri"/>
            <w:b/>
            <w:color w:val="0000FF"/>
            <w:sz w:val="20"/>
            <w:szCs w:val="20"/>
          </w:rPr>
          <w:t>bridanareksasekuritas</w:t>
        </w:r>
      </w:hyperlink>
      <w:hyperlink r:id="rId12">
        <w:r>
          <w:rPr>
            <w:rFonts w:ascii="Calibri" w:eastAsia="Calibri" w:hAnsi="Calibri" w:cs="Calibri"/>
            <w:b/>
            <w:color w:val="0000FF"/>
            <w:sz w:val="20"/>
            <w:szCs w:val="20"/>
          </w:rPr>
          <w:t>.co.id</w:t>
        </w:r>
      </w:hyperlink>
      <w:r>
        <w:rPr>
          <w:rFonts w:ascii="Calibri" w:eastAsia="Calibri" w:hAnsi="Calibri" w:cs="Calibri"/>
          <w:b/>
          <w:color w:val="000000"/>
          <w:sz w:val="20"/>
          <w:szCs w:val="20"/>
        </w:rPr>
        <w:t>)</w:t>
      </w:r>
    </w:p>
    <w:p w14:paraId="36E8C19A" w14:textId="77777777" w:rsidR="000E7F15" w:rsidRDefault="000E7F15">
      <w:pPr>
        <w:pBdr>
          <w:top w:val="nil"/>
          <w:left w:val="nil"/>
          <w:bottom w:val="nil"/>
          <w:right w:val="nil"/>
          <w:between w:val="nil"/>
        </w:pBdr>
        <w:spacing w:after="0" w:line="240" w:lineRule="auto"/>
        <w:jc w:val="both"/>
        <w:rPr>
          <w:rFonts w:ascii="Calibri" w:eastAsia="Calibri" w:hAnsi="Calibri" w:cs="Calibri"/>
          <w:color w:val="000000"/>
          <w:sz w:val="20"/>
          <w:szCs w:val="20"/>
          <w:u w:val="single"/>
        </w:rPr>
      </w:pPr>
    </w:p>
    <w:p w14:paraId="1A5800D2" w14:textId="77777777" w:rsidR="000E7F15"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PT BRI Danareksa Sekuritas didirikan pada tahun 1992, bergerak sebagai perantara perdagangan efek, penjamin emisi efek dan penasihat keuangan, yang merupakan entitas anak dari PT Bank Rakyat Indonesia (Persero) Tbk (BRI atau Bank BRI) serta entitas asosiasi dari Holding BUMN Danareksa. Dengan pengalaman lebih dari 30 tahun sebagai </w:t>
      </w:r>
      <w:r>
        <w:rPr>
          <w:rFonts w:ascii="Calibri" w:eastAsia="Calibri" w:hAnsi="Calibri" w:cs="Calibri"/>
          <w:i/>
          <w:color w:val="000000"/>
          <w:sz w:val="20"/>
          <w:szCs w:val="20"/>
        </w:rPr>
        <w:t>one stop financial solution provider</w:t>
      </w:r>
      <w:r>
        <w:rPr>
          <w:rFonts w:ascii="Calibri" w:eastAsia="Calibri" w:hAnsi="Calibri" w:cs="Calibri"/>
          <w:color w:val="000000"/>
          <w:sz w:val="20"/>
          <w:szCs w:val="20"/>
        </w:rPr>
        <w:t xml:space="preserve">, perusahaan telah melayani nasabah baik individual maupun institusi; domestik maupun internasional; lembaga Pemerintah maupun swasta. BRI Danareksa Sekuritas memiliki pengalaman yang baik dalam transaksi di  pasar modal, baik sebagai </w:t>
      </w:r>
      <w:r>
        <w:rPr>
          <w:rFonts w:ascii="Calibri" w:eastAsia="Calibri" w:hAnsi="Calibri" w:cs="Calibri"/>
          <w:i/>
          <w:color w:val="000000"/>
          <w:sz w:val="20"/>
          <w:szCs w:val="20"/>
        </w:rPr>
        <w:t>underwriter</w:t>
      </w:r>
      <w:r>
        <w:rPr>
          <w:rFonts w:ascii="Calibri" w:eastAsia="Calibri" w:hAnsi="Calibri" w:cs="Calibri"/>
          <w:color w:val="000000"/>
          <w:sz w:val="20"/>
          <w:szCs w:val="20"/>
        </w:rPr>
        <w:t xml:space="preserve">, </w:t>
      </w:r>
      <w:r>
        <w:rPr>
          <w:rFonts w:ascii="Calibri" w:eastAsia="Calibri" w:hAnsi="Calibri" w:cs="Calibri"/>
          <w:i/>
          <w:color w:val="000000"/>
          <w:sz w:val="20"/>
          <w:szCs w:val="20"/>
        </w:rPr>
        <w:t>broker</w:t>
      </w:r>
      <w:r>
        <w:rPr>
          <w:rFonts w:ascii="Calibri" w:eastAsia="Calibri" w:hAnsi="Calibri" w:cs="Calibri"/>
          <w:color w:val="000000"/>
          <w:sz w:val="20"/>
          <w:szCs w:val="20"/>
        </w:rPr>
        <w:t xml:space="preserve"> dan </w:t>
      </w:r>
      <w:r>
        <w:rPr>
          <w:rFonts w:ascii="Calibri" w:eastAsia="Calibri" w:hAnsi="Calibri" w:cs="Calibri"/>
          <w:i/>
          <w:color w:val="000000"/>
          <w:sz w:val="20"/>
          <w:szCs w:val="20"/>
        </w:rPr>
        <w:t>financial advisor</w:t>
      </w:r>
      <w:r>
        <w:rPr>
          <w:rFonts w:ascii="Calibri" w:eastAsia="Calibri" w:hAnsi="Calibri" w:cs="Calibri"/>
          <w:color w:val="000000"/>
          <w:sz w:val="20"/>
          <w:szCs w:val="20"/>
        </w:rPr>
        <w:t xml:space="preserve">. Khusus untuk nasabah individu, perusahaan menyediakan digital </w:t>
      </w:r>
      <w:r>
        <w:rPr>
          <w:rFonts w:ascii="Calibri" w:eastAsia="Calibri" w:hAnsi="Calibri" w:cs="Calibri"/>
          <w:i/>
          <w:color w:val="000000"/>
          <w:sz w:val="20"/>
          <w:szCs w:val="20"/>
        </w:rPr>
        <w:t>multi-investment platform</w:t>
      </w:r>
      <w:r>
        <w:rPr>
          <w:rFonts w:ascii="Calibri" w:eastAsia="Calibri" w:hAnsi="Calibri" w:cs="Calibri"/>
          <w:color w:val="000000"/>
          <w:sz w:val="20"/>
          <w:szCs w:val="20"/>
        </w:rPr>
        <w:t xml:space="preserve"> yang terintegrasi dan memudahkan nasabah dalam bertransaksi beragam produk di pasar modal. </w:t>
      </w:r>
    </w:p>
    <w:p w14:paraId="3D2443E4" w14:textId="77777777" w:rsidR="000E7F15" w:rsidRDefault="000E7F15">
      <w:pPr>
        <w:pBdr>
          <w:top w:val="nil"/>
          <w:left w:val="nil"/>
          <w:bottom w:val="nil"/>
          <w:right w:val="nil"/>
          <w:between w:val="nil"/>
        </w:pBdr>
        <w:spacing w:after="0" w:line="240" w:lineRule="auto"/>
        <w:jc w:val="both"/>
        <w:rPr>
          <w:rFonts w:ascii="Calibri" w:eastAsia="Calibri" w:hAnsi="Calibri" w:cs="Calibri"/>
          <w:color w:val="000000"/>
          <w:sz w:val="20"/>
          <w:szCs w:val="20"/>
        </w:rPr>
      </w:pPr>
    </w:p>
    <w:p w14:paraId="334D663C" w14:textId="77777777" w:rsidR="000E7F15" w:rsidRDefault="00000000">
      <w:pPr>
        <w:pBdr>
          <w:top w:val="nil"/>
          <w:left w:val="nil"/>
          <w:bottom w:val="nil"/>
          <w:right w:val="nil"/>
          <w:between w:val="nil"/>
        </w:pBdr>
        <w:spacing w:after="0" w:line="240" w:lineRule="auto"/>
        <w:jc w:val="both"/>
        <w:rPr>
          <w:sz w:val="20"/>
          <w:szCs w:val="20"/>
        </w:rPr>
      </w:pPr>
      <w:r>
        <w:rPr>
          <w:rFonts w:ascii="Calibri" w:eastAsia="Calibri" w:hAnsi="Calibri" w:cs="Calibri"/>
          <w:color w:val="000000"/>
          <w:sz w:val="20"/>
          <w:szCs w:val="20"/>
        </w:rPr>
        <w:t>Untuk informasi lebih lanjut, hubungi:</w:t>
      </w:r>
    </w:p>
    <w:p w14:paraId="3B57CE8F" w14:textId="77777777" w:rsidR="000E7F15" w:rsidRDefault="000E7F15">
      <w:pPr>
        <w:pBdr>
          <w:top w:val="nil"/>
          <w:left w:val="nil"/>
          <w:bottom w:val="nil"/>
          <w:right w:val="nil"/>
          <w:between w:val="nil"/>
        </w:pBdr>
        <w:spacing w:after="0" w:line="240" w:lineRule="auto"/>
        <w:jc w:val="both"/>
        <w:rPr>
          <w:sz w:val="20"/>
          <w:szCs w:val="20"/>
        </w:rPr>
      </w:pPr>
    </w:p>
    <w:p w14:paraId="329C17B8" w14:textId="77777777" w:rsidR="000E7F15" w:rsidRDefault="00000000">
      <w:pPr>
        <w:pBdr>
          <w:top w:val="nil"/>
          <w:left w:val="nil"/>
          <w:bottom w:val="nil"/>
          <w:right w:val="nil"/>
          <w:between w:val="nil"/>
        </w:pBdr>
        <w:spacing w:after="0" w:line="240" w:lineRule="auto"/>
        <w:jc w:val="both"/>
        <w:rPr>
          <w:rFonts w:ascii="Calibri" w:eastAsia="Calibri" w:hAnsi="Calibri" w:cs="Calibri"/>
          <w:b/>
          <w:color w:val="000000"/>
          <w:sz w:val="20"/>
          <w:szCs w:val="20"/>
        </w:rPr>
      </w:pPr>
      <w:r>
        <w:rPr>
          <w:rFonts w:ascii="Calibri" w:eastAsia="Calibri" w:hAnsi="Calibri" w:cs="Calibri"/>
          <w:b/>
          <w:color w:val="000000"/>
          <w:sz w:val="20"/>
          <w:szCs w:val="20"/>
        </w:rPr>
        <w:t xml:space="preserve">Moh. Burhan S. Widodo </w:t>
      </w:r>
    </w:p>
    <w:p w14:paraId="2946CA88" w14:textId="77777777" w:rsidR="000E7F15" w:rsidRDefault="00000000">
      <w:pPr>
        <w:pBdr>
          <w:top w:val="nil"/>
          <w:left w:val="nil"/>
          <w:bottom w:val="nil"/>
          <w:right w:val="nil"/>
          <w:between w:val="nil"/>
        </w:pBdr>
        <w:spacing w:after="0" w:line="240" w:lineRule="auto"/>
        <w:jc w:val="both"/>
        <w:rPr>
          <w:rFonts w:ascii="Calibri" w:eastAsia="Calibri" w:hAnsi="Calibri" w:cs="Calibri"/>
          <w:i/>
          <w:color w:val="000000"/>
          <w:sz w:val="20"/>
          <w:szCs w:val="20"/>
        </w:rPr>
      </w:pPr>
      <w:r>
        <w:rPr>
          <w:rFonts w:ascii="Calibri" w:eastAsia="Calibri" w:hAnsi="Calibri" w:cs="Calibri"/>
          <w:i/>
          <w:color w:val="000000"/>
          <w:sz w:val="20"/>
          <w:szCs w:val="20"/>
        </w:rPr>
        <w:t>Corporate Secretary</w:t>
      </w:r>
    </w:p>
    <w:p w14:paraId="1BD49156" w14:textId="77777777" w:rsidR="000E7F15"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PT BRI Danareksa Sekuritas</w:t>
      </w:r>
    </w:p>
    <w:p w14:paraId="44D8401F" w14:textId="77777777" w:rsidR="000E7F15"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color w:val="000000"/>
          <w:sz w:val="20"/>
          <w:szCs w:val="20"/>
        </w:rPr>
        <w:t>T: 021 5091 4100</w:t>
      </w:r>
    </w:p>
    <w:p w14:paraId="3720C1B9" w14:textId="77777777" w:rsidR="000E7F15"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u w:val="single"/>
        </w:rPr>
      </w:pPr>
      <w:r>
        <w:rPr>
          <w:rFonts w:ascii="Calibri" w:eastAsia="Calibri" w:hAnsi="Calibri" w:cs="Calibri"/>
          <w:color w:val="000000"/>
          <w:sz w:val="20"/>
          <w:szCs w:val="20"/>
        </w:rPr>
        <w:t xml:space="preserve">E: </w:t>
      </w:r>
      <w:hyperlink r:id="rId13">
        <w:r>
          <w:rPr>
            <w:rFonts w:ascii="Calibri" w:eastAsia="Calibri" w:hAnsi="Calibri" w:cs="Calibri"/>
            <w:color w:val="0000FF"/>
            <w:sz w:val="20"/>
            <w:szCs w:val="20"/>
            <w:u w:val="single"/>
          </w:rPr>
          <w:t>corsec@brids.co.id</w:t>
        </w:r>
      </w:hyperlink>
    </w:p>
    <w:p w14:paraId="7EB4B596" w14:textId="77777777" w:rsidR="000E7F15" w:rsidRDefault="00000000">
      <w:pPr>
        <w:pBdr>
          <w:top w:val="nil"/>
          <w:left w:val="nil"/>
          <w:bottom w:val="nil"/>
          <w:right w:val="nil"/>
          <w:between w:val="nil"/>
        </w:pBdr>
        <w:spacing w:after="0" w:line="240" w:lineRule="auto"/>
        <w:jc w:val="both"/>
        <w:rPr>
          <w:rFonts w:ascii="Calibri" w:eastAsia="Calibri" w:hAnsi="Calibri" w:cs="Calibri"/>
          <w:color w:val="000000"/>
          <w:sz w:val="20"/>
          <w:szCs w:val="20"/>
        </w:rPr>
      </w:pPr>
      <w:r>
        <w:rPr>
          <w:rFonts w:ascii="Calibri" w:eastAsia="Calibri" w:hAnsi="Calibri" w:cs="Calibri"/>
          <w:sz w:val="20"/>
          <w:szCs w:val="20"/>
        </w:rPr>
        <w:t>BRI Danareksa Sekuritas terdaftar dan diawas</w:t>
      </w:r>
      <w:r>
        <w:rPr>
          <w:rFonts w:ascii="Calibri" w:eastAsia="Calibri" w:hAnsi="Calibri" w:cs="Calibri"/>
          <w:color w:val="000000"/>
          <w:sz w:val="20"/>
          <w:szCs w:val="20"/>
        </w:rPr>
        <w:t>i oleh Otoritas Jasa Keuangan (OJK).</w:t>
      </w:r>
    </w:p>
    <w:sectPr w:rsidR="000E7F15">
      <w:headerReference w:type="default" r:id="rId14"/>
      <w:footerReference w:type="default" r:id="rId15"/>
      <w:pgSz w:w="12240" w:h="15840"/>
      <w:pgMar w:top="1440" w:right="1440" w:bottom="1276" w:left="1440" w:header="720" w:footer="55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0FC9D" w14:textId="77777777" w:rsidR="0088543D" w:rsidRDefault="0088543D">
      <w:pPr>
        <w:spacing w:after="0" w:line="240" w:lineRule="auto"/>
      </w:pPr>
      <w:r>
        <w:separator/>
      </w:r>
    </w:p>
  </w:endnote>
  <w:endnote w:type="continuationSeparator" w:id="0">
    <w:p w14:paraId="2AA21CEA" w14:textId="77777777" w:rsidR="0088543D" w:rsidRDefault="00885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F654" w14:textId="77777777" w:rsidR="000E7F15" w:rsidRDefault="00000000">
    <w:pPr>
      <w:pBdr>
        <w:top w:val="nil"/>
        <w:left w:val="nil"/>
        <w:bottom w:val="nil"/>
        <w:right w:val="nil"/>
        <w:between w:val="nil"/>
      </w:pBdr>
      <w:tabs>
        <w:tab w:val="center" w:pos="4680"/>
        <w:tab w:val="right" w:pos="9360"/>
      </w:tabs>
      <w:spacing w:after="0" w:line="240" w:lineRule="auto"/>
      <w:jc w:val="center"/>
      <w:rPr>
        <w:rFonts w:ascii="Calibri" w:eastAsia="Calibri" w:hAnsi="Calibri" w:cs="Calibri"/>
        <w:smallCaps/>
        <w:color w:val="4472C4"/>
      </w:rPr>
    </w:pPr>
    <w:r>
      <w:rPr>
        <w:rFonts w:ascii="Calibri" w:eastAsia="Calibri" w:hAnsi="Calibri" w:cs="Calibri"/>
        <w:smallCaps/>
        <w:color w:val="4472C4"/>
      </w:rPr>
      <w:fldChar w:fldCharType="begin"/>
    </w:r>
    <w:r>
      <w:rPr>
        <w:rFonts w:ascii="Calibri" w:eastAsia="Calibri" w:hAnsi="Calibri" w:cs="Calibri"/>
        <w:smallCaps/>
        <w:color w:val="4472C4"/>
      </w:rPr>
      <w:instrText>PAGE</w:instrText>
    </w:r>
    <w:r>
      <w:rPr>
        <w:rFonts w:ascii="Calibri" w:eastAsia="Calibri" w:hAnsi="Calibri" w:cs="Calibri"/>
        <w:smallCaps/>
        <w:color w:val="4472C4"/>
      </w:rPr>
      <w:fldChar w:fldCharType="separate"/>
    </w:r>
    <w:r w:rsidR="005B40B8">
      <w:rPr>
        <w:rFonts w:ascii="Calibri" w:eastAsia="Calibri" w:hAnsi="Calibri" w:cs="Calibri"/>
        <w:smallCaps/>
        <w:noProof/>
        <w:color w:val="4472C4"/>
      </w:rPr>
      <w:t>1</w:t>
    </w:r>
    <w:r>
      <w:rPr>
        <w:rFonts w:ascii="Calibri" w:eastAsia="Calibri" w:hAnsi="Calibri" w:cs="Calibri"/>
        <w:smallCaps/>
        <w:color w:val="4472C4"/>
      </w:rPr>
      <w:fldChar w:fldCharType="end"/>
    </w:r>
  </w:p>
  <w:p w14:paraId="1464D39A" w14:textId="77777777" w:rsidR="000E7F15" w:rsidRDefault="000E7F15">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2864D" w14:textId="77777777" w:rsidR="0088543D" w:rsidRDefault="0088543D">
      <w:pPr>
        <w:spacing w:after="0" w:line="240" w:lineRule="auto"/>
      </w:pPr>
      <w:r>
        <w:separator/>
      </w:r>
    </w:p>
  </w:footnote>
  <w:footnote w:type="continuationSeparator" w:id="0">
    <w:p w14:paraId="2E4BA03D" w14:textId="77777777" w:rsidR="0088543D" w:rsidRDefault="008854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131D" w14:textId="77777777" w:rsidR="000E7F15" w:rsidRDefault="00000000">
    <w:pPr>
      <w:pBdr>
        <w:top w:val="nil"/>
        <w:left w:val="nil"/>
        <w:bottom w:val="nil"/>
        <w:right w:val="nil"/>
        <w:between w:val="nil"/>
      </w:pBdr>
      <w:tabs>
        <w:tab w:val="center" w:pos="4680"/>
        <w:tab w:val="right" w:pos="9360"/>
      </w:tabs>
      <w:spacing w:after="0" w:line="240" w:lineRule="auto"/>
      <w:jc w:val="right"/>
      <w:rPr>
        <w:rFonts w:ascii="Calibri" w:eastAsia="Calibri" w:hAnsi="Calibri" w:cs="Calibri"/>
        <w:color w:val="000000"/>
      </w:rPr>
    </w:pPr>
    <w:r>
      <w:rPr>
        <w:rFonts w:ascii="Calibri" w:eastAsia="Calibri" w:hAnsi="Calibri" w:cs="Calibri"/>
        <w:noProof/>
        <w:color w:val="000000"/>
      </w:rPr>
      <w:drawing>
        <wp:inline distT="0" distB="0" distL="0" distR="0" wp14:anchorId="3D3B49A6" wp14:editId="268527B1">
          <wp:extent cx="1704793" cy="479534"/>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25" b="624"/>
                  <a:stretch>
                    <a:fillRect/>
                  </a:stretch>
                </pic:blipFill>
                <pic:spPr>
                  <a:xfrm>
                    <a:off x="0" y="0"/>
                    <a:ext cx="1704793" cy="479534"/>
                  </a:xfrm>
                  <a:prstGeom prst="rect">
                    <a:avLst/>
                  </a:prstGeom>
                  <a:ln/>
                </pic:spPr>
              </pic:pic>
            </a:graphicData>
          </a:graphic>
        </wp:inline>
      </w:drawing>
    </w:r>
    <w:r>
      <w:rPr>
        <w:rFonts w:ascii="Calibri" w:eastAsia="Calibri" w:hAnsi="Calibri" w:cs="Calibri"/>
        <w:color w:val="000000"/>
      </w:rPr>
      <w:t xml:space="preserve">  </w:t>
    </w:r>
  </w:p>
  <w:p w14:paraId="05921CC0" w14:textId="77777777" w:rsidR="000E7F15" w:rsidRDefault="000E7F15">
    <w:pPr>
      <w:pBdr>
        <w:top w:val="nil"/>
        <w:left w:val="nil"/>
        <w:bottom w:val="nil"/>
        <w:right w:val="nil"/>
        <w:between w:val="nil"/>
      </w:pBdr>
      <w:tabs>
        <w:tab w:val="center" w:pos="4680"/>
        <w:tab w:val="right" w:pos="9360"/>
      </w:tabs>
      <w:spacing w:after="0" w:line="240" w:lineRule="auto"/>
      <w:jc w:val="right"/>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15"/>
    <w:rsid w:val="000E7F15"/>
    <w:rsid w:val="00454363"/>
    <w:rsid w:val="005B40B8"/>
    <w:rsid w:val="00885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94FA25"/>
  <w15:docId w15:val="{2F21ADF3-052C-456E-9ACC-0552B7D08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pPr>
      <w:spacing w:after="0" w:line="240" w:lineRule="auto"/>
    </w:pPr>
    <w:rPr>
      <w:rFonts w:ascii="Times New Roman" w:hAnsi="Times New Roman" w:cs="Times New Roman"/>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link w:val="DocumentMapChar"/>
    <w:uiPriority w:val="99"/>
    <w:semiHidden/>
    <w:unhideWhenUsed/>
    <w:pPr>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Revision1">
    <w:name w:val="Revision1"/>
    <w:hidden/>
    <w:uiPriority w:val="99"/>
    <w:semiHidden/>
    <w:pPr>
      <w:spacing w:after="0" w:line="240" w:lineRule="auto"/>
    </w:pPr>
    <w:rPr>
      <w:rFonts w:asciiTheme="minorHAnsi" w:eastAsiaTheme="minorHAnsi" w:hAnsiTheme="minorHAnsi" w:cstheme="minorBidi"/>
      <w:lang w:val="en-US"/>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customStyle="1" w:styleId="DocumentMapChar">
    <w:name w:val="Document Map Char"/>
    <w:basedOn w:val="DefaultParagraphFont"/>
    <w:link w:val="DocumentMap"/>
    <w:uiPriority w:val="99"/>
    <w:semiHidden/>
    <w:rPr>
      <w:rFonts w:ascii="Times New Roman" w:hAnsi="Times New Roman" w:cs="Times New Roman"/>
      <w:sz w:val="24"/>
      <w:szCs w:val="24"/>
    </w:rPr>
  </w:style>
  <w:style w:type="paragraph" w:styleId="NoSpacing">
    <w:name w:val="No Spacing"/>
    <w:uiPriority w:val="1"/>
    <w:qFormat/>
    <w:pPr>
      <w:spacing w:after="0" w:line="240" w:lineRule="auto"/>
    </w:pPr>
    <w:rPr>
      <w:rFonts w:asciiTheme="minorHAnsi" w:eastAsiaTheme="minorHAnsi" w:hAnsiTheme="minorHAnsi" w:cstheme="minorBidi"/>
      <w:lang w:val="en-US"/>
    </w:rPr>
  </w:style>
  <w:style w:type="character" w:customStyle="1" w:styleId="UnresolvedMention2">
    <w:name w:val="Unresolved Mention2"/>
    <w:basedOn w:val="DefaultParagraphFont"/>
    <w:uiPriority w:val="9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rsec@brids.co.id"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bridanareksasekuritas.co.i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ridanareksasekuritas.co.i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bridanareksasekuritas.co.id"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cLvjtcFrgI3nktoY6MIbew/ThQ==">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864</Words>
  <Characters>4929</Characters>
  <Application>Microsoft Office Word</Application>
  <DocSecurity>0</DocSecurity>
  <Lines>41</Lines>
  <Paragraphs>11</Paragraphs>
  <ScaleCrop>false</ScaleCrop>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Agam Satria</dc:creator>
  <cp:lastModifiedBy>Agam Satria Pratama</cp:lastModifiedBy>
  <cp:revision>2</cp:revision>
  <dcterms:created xsi:type="dcterms:W3CDTF">2025-02-13T10:00:00Z</dcterms:created>
  <dcterms:modified xsi:type="dcterms:W3CDTF">2025-02-13T10:00:00Z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0x0101007B674B5E77E5A944BD4927749CDA6B11</vt:lpwstr>
  </property>
  <property fmtid="{D5CDD505-2E9C-101B-9397-08002B2CF9AE}" pid="4" name="KSOProductBuildVer">
    <vt:lpwstr>1033-5.7.0.8090</vt:lpwstr>
  </property>
</Properties>
</file>